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754B8">
      <w:pPr>
        <w:spacing w:line="300" w:lineRule="auto"/>
        <w:rPr>
          <w:rFonts w:ascii="宋体" w:hAnsi="宋体"/>
          <w:sz w:val="28"/>
        </w:rPr>
      </w:pPr>
    </w:p>
    <w:p w14:paraId="10BA9D58">
      <w:pPr>
        <w:spacing w:line="300" w:lineRule="auto"/>
        <w:jc w:val="center"/>
        <w:rPr>
          <w:rFonts w:ascii="宋体" w:hAnsi="宋体"/>
          <w:b/>
          <w:sz w:val="30"/>
        </w:rPr>
      </w:pPr>
      <w:r>
        <w:rPr>
          <w:rFonts w:hint="eastAsia" w:ascii="宋体" w:hAnsi="宋体"/>
          <w:b/>
          <w:sz w:val="30"/>
        </w:rPr>
        <w:t>总  说  明</w:t>
      </w:r>
    </w:p>
    <w:p w14:paraId="146B2A40">
      <w:pPr>
        <w:spacing w:line="300" w:lineRule="auto"/>
        <w:ind w:firstLine="480" w:firstLineChars="200"/>
        <w:rPr>
          <w:rFonts w:ascii="宋体" w:hAnsi="宋体"/>
          <w:sz w:val="28"/>
        </w:rPr>
      </w:pPr>
      <w:r>
        <w:rPr>
          <w:rFonts w:hint="eastAsia" w:ascii="宋体" w:hAnsi="宋体"/>
          <w:sz w:val="24"/>
        </w:rPr>
        <w:t>工程名称：</w:t>
      </w:r>
      <w:r>
        <w:rPr>
          <w:rFonts w:hint="eastAsia" w:ascii="宋体" w:hAnsi="宋体"/>
          <w:sz w:val="24"/>
          <w:lang w:val="en-US" w:eastAsia="zh-CN"/>
        </w:rPr>
        <w:t>镇江监狱监房生活用水维修改造工程</w:t>
      </w:r>
      <w:r>
        <w:rPr>
          <w:rFonts w:hint="eastAsia" w:ascii="宋体" w:hAnsi="宋体"/>
          <w:sz w:val="24"/>
        </w:rPr>
        <w:t xml:space="preserve">      第1页  共2页</w:t>
      </w:r>
      <w:r>
        <w:rPr>
          <w:rFonts w:hint="eastAsia" w:ascii="宋体" w:hAnsi="宋体"/>
          <w:sz w:val="28"/>
        </w:rPr>
        <w:t xml:space="preserve">            </w:t>
      </w:r>
    </w:p>
    <w:tbl>
      <w:tblPr>
        <w:tblStyle w:val="6"/>
        <w:tblW w:w="9282" w:type="dxa"/>
        <w:tblInd w:w="28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82"/>
      </w:tblGrid>
      <w:tr w14:paraId="19AAC1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368" w:hRule="atLeast"/>
        </w:trPr>
        <w:tc>
          <w:tcPr>
            <w:tcW w:w="9282" w:type="dxa"/>
            <w:tcBorders>
              <w:top w:val="single" w:color="auto" w:sz="4" w:space="0"/>
              <w:left w:val="single" w:color="auto" w:sz="4" w:space="0"/>
              <w:bottom w:val="single" w:color="auto" w:sz="4" w:space="0"/>
              <w:right w:val="single" w:color="auto" w:sz="4" w:space="0"/>
            </w:tcBorders>
          </w:tcPr>
          <w:p w14:paraId="6AF38835">
            <w:pPr>
              <w:spacing w:line="560" w:lineRule="exact"/>
              <w:ind w:firstLine="480" w:firstLineChars="200"/>
              <w:rPr>
                <w:rFonts w:hint="default" w:ascii="宋体" w:hAnsi="宋体" w:eastAsia="宋体"/>
                <w:sz w:val="24"/>
                <w:lang w:val="en-US" w:eastAsia="zh-CN"/>
              </w:rPr>
            </w:pPr>
            <w:r>
              <w:rPr>
                <w:rFonts w:hint="eastAsia" w:ascii="宋体" w:hAnsi="宋体"/>
                <w:sz w:val="24"/>
                <w:lang w:val="en-US" w:eastAsia="zh-CN"/>
              </w:rPr>
              <w:t>一、工程概况</w:t>
            </w:r>
          </w:p>
          <w:p w14:paraId="71BB429F">
            <w:pPr>
              <w:spacing w:line="560" w:lineRule="exact"/>
              <w:ind w:firstLine="480" w:firstLineChars="200"/>
              <w:rPr>
                <w:rFonts w:hint="eastAsia" w:ascii="宋体" w:hAnsi="宋体"/>
                <w:sz w:val="24"/>
                <w:lang w:val="en-US" w:eastAsia="zh-CN"/>
              </w:rPr>
            </w:pPr>
            <w:r>
              <w:rPr>
                <w:rFonts w:hint="eastAsia" w:ascii="宋体" w:hAnsi="宋体"/>
                <w:sz w:val="24"/>
              </w:rPr>
              <w:t>1、</w:t>
            </w:r>
            <w:r>
              <w:rPr>
                <w:rFonts w:hint="eastAsia" w:ascii="宋体" w:hAnsi="宋体"/>
                <w:sz w:val="24"/>
                <w:lang w:val="en-US" w:eastAsia="zh-CN"/>
              </w:rPr>
              <w:t>项目名称：镇江监狱监房生活用水维修改造工程</w:t>
            </w:r>
          </w:p>
          <w:p w14:paraId="70676A75">
            <w:pPr>
              <w:spacing w:line="560" w:lineRule="exact"/>
              <w:ind w:firstLine="480" w:firstLineChars="200"/>
              <w:rPr>
                <w:rFonts w:hint="eastAsia" w:ascii="宋体" w:hAnsi="宋体"/>
                <w:sz w:val="24"/>
              </w:rPr>
            </w:pPr>
            <w:r>
              <w:rPr>
                <w:rFonts w:hint="eastAsia" w:ascii="宋体" w:hAnsi="宋体"/>
                <w:sz w:val="24"/>
                <w:lang w:val="en-US" w:eastAsia="zh-CN"/>
              </w:rPr>
              <w:t>2、</w:t>
            </w:r>
            <w:r>
              <w:rPr>
                <w:rFonts w:hint="eastAsia" w:ascii="宋体" w:hAnsi="宋体"/>
                <w:sz w:val="24"/>
              </w:rPr>
              <w:t>工程</w:t>
            </w:r>
            <w:r>
              <w:rPr>
                <w:rFonts w:hint="eastAsia" w:ascii="宋体" w:hAnsi="宋体"/>
                <w:sz w:val="24"/>
                <w:lang w:val="en-US" w:eastAsia="zh-CN"/>
              </w:rPr>
              <w:t>地点</w:t>
            </w:r>
            <w:r>
              <w:rPr>
                <w:rFonts w:hint="eastAsia" w:ascii="宋体" w:hAnsi="宋体"/>
                <w:sz w:val="24"/>
              </w:rPr>
              <w:t>：本工程为江苏省镇江监狱1#、2#</w:t>
            </w:r>
            <w:r>
              <w:rPr>
                <w:rFonts w:hint="eastAsia" w:ascii="宋体" w:hAnsi="宋体"/>
                <w:sz w:val="24"/>
                <w:lang w:eastAsia="zh-CN"/>
              </w:rPr>
              <w:t>、</w:t>
            </w:r>
            <w:r>
              <w:rPr>
                <w:rFonts w:hint="eastAsia" w:ascii="宋体" w:hAnsi="宋体"/>
                <w:sz w:val="24"/>
                <w:lang w:val="en-US" w:eastAsia="zh-CN"/>
              </w:rPr>
              <w:t>3#、5#</w:t>
            </w:r>
            <w:r>
              <w:rPr>
                <w:rFonts w:hint="eastAsia" w:ascii="宋体" w:hAnsi="宋体"/>
                <w:sz w:val="24"/>
              </w:rPr>
              <w:t xml:space="preserve">监房。  </w:t>
            </w:r>
          </w:p>
          <w:p w14:paraId="3E6C8CDA">
            <w:pPr>
              <w:spacing w:line="560" w:lineRule="exact"/>
              <w:ind w:firstLine="480" w:firstLineChars="200"/>
              <w:rPr>
                <w:rFonts w:hint="eastAsia" w:ascii="宋体" w:hAnsi="宋体"/>
                <w:sz w:val="24"/>
              </w:rPr>
            </w:pPr>
            <w:r>
              <w:rPr>
                <w:rFonts w:hint="eastAsia" w:ascii="宋体" w:hAnsi="宋体"/>
                <w:sz w:val="24"/>
                <w:lang w:val="en-US" w:eastAsia="zh-CN"/>
              </w:rPr>
              <w:t>二、</w:t>
            </w:r>
            <w:r>
              <w:rPr>
                <w:rFonts w:hint="eastAsia" w:ascii="宋体" w:hAnsi="宋体"/>
                <w:sz w:val="24"/>
              </w:rPr>
              <w:t xml:space="preserve"> 工程招标范围：</w:t>
            </w:r>
            <w:bookmarkStart w:id="0" w:name="_GoBack"/>
            <w:bookmarkEnd w:id="0"/>
          </w:p>
          <w:p w14:paraId="17DB5331">
            <w:pPr>
              <w:spacing w:line="560" w:lineRule="exact"/>
              <w:ind w:firstLine="480" w:firstLineChars="200"/>
              <w:rPr>
                <w:rFonts w:hint="eastAsia" w:ascii="宋体" w:hAnsi="宋体"/>
                <w:sz w:val="24"/>
              </w:rPr>
            </w:pPr>
            <w:r>
              <w:rPr>
                <w:rFonts w:hint="eastAsia" w:ascii="宋体" w:hAnsi="宋体"/>
                <w:sz w:val="24"/>
                <w:lang w:val="en-US" w:eastAsia="zh-CN"/>
              </w:rPr>
              <w:t>1、工作内容</w:t>
            </w:r>
            <w:r>
              <w:rPr>
                <w:rFonts w:hint="eastAsia" w:ascii="宋体" w:hAnsi="宋体"/>
                <w:sz w:val="24"/>
              </w:rPr>
              <w:t>：</w:t>
            </w:r>
            <w:r>
              <w:rPr>
                <w:rFonts w:hint="eastAsia" w:ascii="宋体" w:hAnsi="宋体"/>
                <w:sz w:val="24"/>
                <w:lang w:val="en-US" w:eastAsia="zh-CN"/>
              </w:rPr>
              <w:t>原机房设备、管路、电气及装修等拆除、恢复；开水系统、热水系统设备、管路、电气、控制系统的采购及安装；设备基础及土建改造工程等，详见工程量清单及施工图纸</w:t>
            </w:r>
            <w:r>
              <w:rPr>
                <w:rFonts w:hint="eastAsia" w:ascii="宋体" w:hAnsi="宋体"/>
                <w:sz w:val="24"/>
              </w:rPr>
              <w:t>。</w:t>
            </w:r>
          </w:p>
          <w:p w14:paraId="6CFF521D">
            <w:pPr>
              <w:spacing w:line="560" w:lineRule="exact"/>
              <w:ind w:firstLine="480" w:firstLineChars="200"/>
              <w:rPr>
                <w:rFonts w:hint="eastAsia" w:ascii="宋体" w:hAnsi="宋体"/>
                <w:sz w:val="24"/>
                <w:lang w:val="en-US" w:eastAsia="zh-CN"/>
              </w:rPr>
            </w:pPr>
            <w:r>
              <w:rPr>
                <w:rFonts w:hint="eastAsia" w:ascii="宋体" w:hAnsi="宋体"/>
                <w:sz w:val="24"/>
                <w:lang w:val="en-US" w:eastAsia="zh-CN"/>
              </w:rPr>
              <w:t>三、招标控制价编制依据</w:t>
            </w:r>
          </w:p>
          <w:p w14:paraId="16D984D4">
            <w:pPr>
              <w:numPr>
                <w:ilvl w:val="0"/>
                <w:numId w:val="1"/>
              </w:numPr>
              <w:spacing w:line="560" w:lineRule="exact"/>
              <w:ind w:left="0" w:leftChars="0" w:firstLine="420" w:firstLineChars="175"/>
              <w:rPr>
                <w:rFonts w:hint="default" w:ascii="宋体" w:hAnsi="宋体"/>
                <w:sz w:val="24"/>
                <w:lang w:val="en-US" w:eastAsia="zh-CN"/>
              </w:rPr>
            </w:pPr>
            <w:r>
              <w:rPr>
                <w:rFonts w:hint="eastAsia" w:ascii="宋体" w:hAnsi="宋体"/>
                <w:sz w:val="24"/>
                <w:lang w:val="en-US" w:eastAsia="zh-CN"/>
              </w:rPr>
              <w:t>“镇江监狱监房生活用水维修改造工程”施工图纸。</w:t>
            </w:r>
          </w:p>
          <w:p w14:paraId="2A84FB3C">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中华人民共和国建设部《建设工程工程量清单计价规范》GB50500-2013；《房屋建筑与装饰工程工程量计算规范》GB50854-2013；《通用安装工程工程量计算规范》GB50856-2013；《建筑面积计算规范》GBT-50353-2013。</w:t>
            </w:r>
          </w:p>
          <w:p w14:paraId="5BD5D45F">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苏建价（2014）448号省住房城乡建设厅关于《建设工程工程量清单计价规范》（GB50500-2013）及其9本工程量计算规范的贯彻意见。</w:t>
            </w:r>
          </w:p>
          <w:p w14:paraId="095A9691">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《江苏省建筑与装饰工程计价定额》（2014年）、《江苏省安装工程计价定额》（2014年）、《江苏省房屋修缮工程计价表》（2009年）、《江苏省建设工程费用定额》（2014年）及营改增后调整内容。</w:t>
            </w:r>
          </w:p>
          <w:p w14:paraId="3EB09947">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苏建价(2016)154号《省住房城乡建设厅关于建筑业实施营改增后江苏省建设工程计价依据调整的通知》及其调整文件。</w:t>
            </w:r>
          </w:p>
          <w:p w14:paraId="4EEE6900">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(2018)第24号《省住房城乡建设厅关于调整建设工程按质论价等费用计取方法的公告》。</w:t>
            </w:r>
          </w:p>
          <w:p w14:paraId="5243DAEF">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人工费参照江苏省住房城乡建设厅发布建设工程人工工资指导价的通知苏建函价〔202</w:t>
            </w:r>
            <w:r>
              <w:rPr>
                <w:rFonts w:hint="eastAsia" w:ascii="宋体" w:hAnsi="宋体"/>
                <w:sz w:val="24"/>
                <w:lang w:val="en-US" w:eastAsia="zh-CN"/>
              </w:rPr>
              <w:t>5</w:t>
            </w:r>
            <w:r>
              <w:rPr>
                <w:rFonts w:hint="eastAsia" w:ascii="宋体" w:hAnsi="宋体"/>
                <w:sz w:val="24"/>
              </w:rPr>
              <w:t>〕</w:t>
            </w:r>
            <w:r>
              <w:rPr>
                <w:rFonts w:hint="eastAsia" w:ascii="宋体" w:hAnsi="宋体"/>
                <w:sz w:val="24"/>
                <w:lang w:val="en-US" w:eastAsia="zh-CN"/>
              </w:rPr>
              <w:t>66</w:t>
            </w:r>
            <w:r>
              <w:rPr>
                <w:rFonts w:hint="eastAsia" w:ascii="宋体" w:hAnsi="宋体"/>
                <w:sz w:val="24"/>
              </w:rPr>
              <w:t>号文。</w:t>
            </w:r>
          </w:p>
          <w:p w14:paraId="2783A4CE">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材料费参照202</w:t>
            </w:r>
            <w:r>
              <w:rPr>
                <w:rFonts w:hint="eastAsia" w:ascii="宋体" w:hAnsi="宋体"/>
                <w:sz w:val="24"/>
                <w:lang w:val="en-US" w:eastAsia="zh-CN"/>
              </w:rPr>
              <w:t>5</w:t>
            </w:r>
            <w:r>
              <w:rPr>
                <w:rFonts w:hint="eastAsia" w:ascii="宋体" w:hAnsi="宋体"/>
                <w:sz w:val="24"/>
              </w:rPr>
              <w:t>年</w:t>
            </w:r>
            <w:r>
              <w:rPr>
                <w:rFonts w:hint="eastAsia" w:ascii="宋体" w:hAnsi="宋体"/>
                <w:sz w:val="24"/>
                <w:lang w:val="en-US" w:eastAsia="zh-CN"/>
              </w:rPr>
              <w:t>1</w:t>
            </w:r>
            <w:r>
              <w:rPr>
                <w:rFonts w:hint="eastAsia" w:ascii="宋体" w:hAnsi="宋体"/>
                <w:sz w:val="24"/>
              </w:rPr>
              <w:t>月</w:t>
            </w:r>
            <w:r>
              <w:rPr>
                <w:rFonts w:hint="eastAsia" w:ascii="宋体" w:hAnsi="宋体"/>
                <w:sz w:val="24"/>
                <w:lang w:val="en-US" w:eastAsia="zh-CN"/>
              </w:rPr>
              <w:t>镇江</w:t>
            </w:r>
            <w:r>
              <w:rPr>
                <w:rFonts w:hint="eastAsia" w:ascii="宋体" w:hAnsi="宋体"/>
                <w:sz w:val="24"/>
              </w:rPr>
              <w:t>工程造价信息指导价。</w:t>
            </w:r>
          </w:p>
          <w:p w14:paraId="2C71A84D">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江苏省省住房城乡建设厅关于智慧工地费用计取方法的公告〔2021〕第16号。</w:t>
            </w:r>
          </w:p>
          <w:p w14:paraId="2D0A210C">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江苏省省住房城乡建设厅关于建筑工人实名制费用计取方法的公告〔2019〕第19号。</w:t>
            </w:r>
          </w:p>
          <w:p w14:paraId="35E163C5">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江苏省住建厅【2018】24号文关于扬尘污染费的取费标准；</w:t>
            </w:r>
          </w:p>
          <w:p w14:paraId="6DB9D3B9">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常规的施工组织设计和施工方案；</w:t>
            </w:r>
          </w:p>
          <w:p w14:paraId="2C36285C">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适用江苏省南京市地区工程项目政府规费、税收规章；</w:t>
            </w:r>
          </w:p>
          <w:p w14:paraId="5175A17E">
            <w:pPr>
              <w:numPr>
                <w:ilvl w:val="0"/>
                <w:numId w:val="1"/>
              </w:numPr>
              <w:spacing w:line="560" w:lineRule="exact"/>
              <w:ind w:left="0" w:leftChars="0" w:firstLine="420" w:firstLineChars="175"/>
              <w:rPr>
                <w:rFonts w:hint="eastAsia" w:ascii="宋体" w:hAnsi="宋体"/>
                <w:sz w:val="24"/>
              </w:rPr>
            </w:pPr>
            <w:r>
              <w:rPr>
                <w:rFonts w:hint="eastAsia" w:ascii="宋体" w:hAnsi="宋体"/>
                <w:sz w:val="24"/>
              </w:rPr>
              <w:t>国家、省市颁布的与工程造价有关的法规、文件、规定。</w:t>
            </w:r>
          </w:p>
          <w:p w14:paraId="6F16EA1A">
            <w:pPr>
              <w:numPr>
                <w:ilvl w:val="0"/>
                <w:numId w:val="1"/>
              </w:numPr>
              <w:spacing w:line="560" w:lineRule="exact"/>
              <w:ind w:left="0" w:leftChars="0" w:firstLine="420" w:firstLineChars="175"/>
              <w:rPr>
                <w:rFonts w:ascii="宋体" w:hAnsi="宋体"/>
                <w:sz w:val="24"/>
              </w:rPr>
            </w:pPr>
            <w:r>
              <w:rPr>
                <w:rFonts w:hint="eastAsia" w:ascii="宋体" w:hAnsi="宋体"/>
                <w:sz w:val="24"/>
              </w:rPr>
              <w:t>承包人因承包本合同需缴纳的一切规费、税金均由承包人承担，并包含在所报的总价内。</w:t>
            </w:r>
          </w:p>
          <w:p w14:paraId="047C8C13">
            <w:pPr>
              <w:numPr>
                <w:ilvl w:val="0"/>
                <w:numId w:val="1"/>
              </w:numPr>
              <w:spacing w:line="560" w:lineRule="exact"/>
              <w:ind w:left="0" w:leftChars="0" w:firstLine="420" w:firstLineChars="175"/>
              <w:rPr>
                <w:rFonts w:ascii="宋体" w:hAnsi="宋体"/>
                <w:sz w:val="24"/>
              </w:rPr>
            </w:pPr>
            <w:r>
              <w:rPr>
                <w:rFonts w:hint="eastAsia" w:ascii="宋体" w:hAnsi="宋体"/>
                <w:sz w:val="24"/>
              </w:rPr>
              <w:t>工程量清单中的每个分项，不论数量是否标出，均须按对招标文件的理解填入单价或合价。投标时没有填入单价或合价的分项，以及报价表中未列细目的分项，其费用应视为已分摊在工程数量报价表的其它分项的单价或合价中，承包人应按要求完成这些分项，但不能得到支付。</w:t>
            </w:r>
          </w:p>
          <w:p w14:paraId="64C057B7">
            <w:pPr>
              <w:numPr>
                <w:ilvl w:val="0"/>
                <w:numId w:val="1"/>
              </w:numPr>
              <w:spacing w:line="560" w:lineRule="exact"/>
              <w:ind w:left="0" w:leftChars="0" w:firstLine="420" w:firstLineChars="175"/>
              <w:rPr>
                <w:rFonts w:ascii="宋体" w:hAnsi="宋体"/>
                <w:sz w:val="24"/>
              </w:rPr>
            </w:pPr>
            <w:r>
              <w:rPr>
                <w:rFonts w:hint="eastAsia" w:ascii="宋体" w:hAnsi="宋体"/>
                <w:sz w:val="24"/>
              </w:rPr>
              <w:t>措施项目包括安全文明施工、夜间施工、二次搬运、冬雨季施工、大型机械进退场、建筑物临时保护设施、已完工程及设备保护、脚手架、垂直运输机械、室内空气污染测试等为完成工程项目施工，发生于该工程施工前和施工过程中技术、生活、安全等方面的非工程实体项目。投标人可以根据现场考察情况及实际情况确定具体措施项目内容，自行增列或删减本清单措施项目。措施项目以“项”为单位计量，合同执行期间及结算时一概不予调整。</w:t>
            </w:r>
          </w:p>
          <w:p w14:paraId="1FCD8214">
            <w:pPr>
              <w:numPr>
                <w:ilvl w:val="0"/>
                <w:numId w:val="1"/>
              </w:numPr>
              <w:spacing w:line="560" w:lineRule="atLeast"/>
              <w:ind w:left="0" w:leftChars="0" w:firstLine="420" w:firstLineChars="175"/>
              <w:rPr>
                <w:rFonts w:ascii="宋体" w:hAnsi="宋体"/>
                <w:kern w:val="0"/>
                <w:sz w:val="24"/>
              </w:rPr>
            </w:pPr>
            <w:r>
              <w:rPr>
                <w:rFonts w:hint="eastAsia" w:ascii="宋体" w:hAnsi="宋体"/>
                <w:sz w:val="24"/>
              </w:rPr>
              <w:t>投标人在投标时应按招标文件规定的统一格式，提供工程量清单报价表。</w:t>
            </w:r>
          </w:p>
          <w:p w14:paraId="5D277359">
            <w:pPr>
              <w:spacing w:line="560" w:lineRule="atLeast"/>
              <w:ind w:left="0" w:leftChars="0" w:firstLine="420" w:firstLineChars="175"/>
              <w:rPr>
                <w:rFonts w:ascii="宋体" w:hAnsi="宋体"/>
                <w:kern w:val="0"/>
                <w:sz w:val="24"/>
              </w:rPr>
            </w:pPr>
            <w:r>
              <w:rPr>
                <w:rFonts w:hint="eastAsia" w:ascii="宋体" w:hAnsi="宋体"/>
                <w:kern w:val="0"/>
                <w:sz w:val="24"/>
                <w:lang w:val="en-US" w:eastAsia="zh-CN"/>
              </w:rPr>
              <w:t>四、</w:t>
            </w:r>
            <w:r>
              <w:rPr>
                <w:rFonts w:hint="eastAsia" w:ascii="宋体" w:hAnsi="宋体"/>
                <w:spacing w:val="60"/>
                <w:kern w:val="0"/>
                <w:sz w:val="24"/>
                <w:fitText w:val="1680" w:id="1517557403"/>
              </w:rPr>
              <w:t>其它说明</w:t>
            </w:r>
            <w:r>
              <w:rPr>
                <w:rFonts w:hint="eastAsia" w:ascii="宋体" w:hAnsi="宋体"/>
                <w:spacing w:val="0"/>
                <w:kern w:val="0"/>
                <w:sz w:val="24"/>
                <w:fitText w:val="1680" w:id="1517557403"/>
              </w:rPr>
              <w:t>：</w:t>
            </w:r>
          </w:p>
          <w:p w14:paraId="204ECBF2">
            <w:pPr>
              <w:numPr>
                <w:ilvl w:val="0"/>
                <w:numId w:val="2"/>
              </w:numPr>
              <w:spacing w:line="560" w:lineRule="exact"/>
              <w:ind w:left="0" w:leftChars="0" w:firstLine="420" w:firstLineChars="175"/>
              <w:rPr>
                <w:rFonts w:ascii="宋体" w:hAnsi="宋体"/>
                <w:sz w:val="24"/>
              </w:rPr>
            </w:pPr>
            <w:r>
              <w:rPr>
                <w:rFonts w:hint="eastAsia" w:ascii="宋体" w:hAnsi="宋体"/>
                <w:sz w:val="24"/>
              </w:rPr>
              <w:t>图纸设计深度不够的，暂按清单项目特征描述的内容报价；</w:t>
            </w:r>
          </w:p>
          <w:p w14:paraId="18C636C9">
            <w:pPr>
              <w:numPr>
                <w:ilvl w:val="0"/>
                <w:numId w:val="2"/>
              </w:numPr>
              <w:spacing w:line="560" w:lineRule="exact"/>
              <w:ind w:left="0" w:leftChars="0" w:firstLine="420" w:firstLineChars="175"/>
              <w:rPr>
                <w:rFonts w:hint="eastAsia" w:ascii="宋体" w:hAnsi="宋体"/>
                <w:sz w:val="24"/>
              </w:rPr>
            </w:pPr>
            <w:r>
              <w:rPr>
                <w:rFonts w:hint="eastAsia" w:ascii="宋体" w:hAnsi="宋体"/>
                <w:sz w:val="24"/>
              </w:rPr>
              <w:t>对于清单是否漏项缺项须向甲方及清单编制单位提出疑问并答疑，自估风险，否则漏项部分视作让利，结算时不予调整；</w:t>
            </w:r>
          </w:p>
          <w:p w14:paraId="0BBBAD16">
            <w:pPr>
              <w:numPr>
                <w:ilvl w:val="0"/>
                <w:numId w:val="2"/>
              </w:numPr>
              <w:spacing w:line="560" w:lineRule="exact"/>
              <w:ind w:left="0" w:leftChars="0" w:firstLine="420" w:firstLineChars="175"/>
              <w:rPr>
                <w:rFonts w:hint="eastAsia" w:ascii="宋体" w:hAnsi="宋体"/>
                <w:sz w:val="24"/>
                <w:lang w:val="en-US" w:eastAsia="zh-CN"/>
              </w:rPr>
            </w:pPr>
            <w:r>
              <w:rPr>
                <w:rFonts w:hint="eastAsia" w:ascii="宋体" w:hAnsi="宋体"/>
                <w:sz w:val="24"/>
                <w:lang w:val="en-US" w:eastAsia="zh-CN"/>
              </w:rPr>
              <w:t>本工程暂列金额84000.00元。</w:t>
            </w:r>
          </w:p>
          <w:p w14:paraId="5A14F128">
            <w:pPr>
              <w:numPr>
                <w:ilvl w:val="0"/>
                <w:numId w:val="2"/>
              </w:numPr>
              <w:spacing w:line="560" w:lineRule="exact"/>
              <w:ind w:left="0" w:leftChars="0" w:firstLine="420" w:firstLineChars="175"/>
              <w:rPr>
                <w:rFonts w:hint="eastAsia" w:ascii="宋体" w:hAnsi="宋体"/>
                <w:sz w:val="24"/>
                <w:lang w:val="en-US" w:eastAsia="zh-CN"/>
              </w:rPr>
            </w:pPr>
            <w:r>
              <w:rPr>
                <w:rFonts w:hint="eastAsia" w:ascii="宋体" w:hAnsi="宋体"/>
                <w:sz w:val="24"/>
                <w:lang w:val="en-US" w:eastAsia="zh-CN"/>
              </w:rPr>
              <w:t>专业工程暂估价：无。</w:t>
            </w:r>
          </w:p>
          <w:p w14:paraId="229506AD">
            <w:pPr>
              <w:numPr>
                <w:ilvl w:val="0"/>
                <w:numId w:val="2"/>
              </w:numPr>
              <w:spacing w:line="560" w:lineRule="exact"/>
              <w:ind w:left="0" w:leftChars="0" w:firstLine="420" w:firstLineChars="175"/>
              <w:rPr>
                <w:rFonts w:hint="eastAsia" w:ascii="宋体" w:hAnsi="宋体"/>
                <w:sz w:val="24"/>
                <w:lang w:val="en-US" w:eastAsia="zh-CN"/>
              </w:rPr>
            </w:pPr>
            <w:r>
              <w:rPr>
                <w:rFonts w:hint="eastAsia" w:ascii="宋体" w:hAnsi="宋体"/>
                <w:sz w:val="24"/>
                <w:lang w:val="en-US" w:eastAsia="zh-CN"/>
              </w:rPr>
              <w:t>本工程甲供材料、设备、材料暂估价：无。</w:t>
            </w:r>
          </w:p>
          <w:p w14:paraId="21740FC3">
            <w:pPr>
              <w:spacing w:line="560" w:lineRule="exact"/>
              <w:ind w:firstLine="465"/>
              <w:rPr>
                <w:rFonts w:hint="eastAsia" w:ascii="宋体" w:hAnsi="宋体"/>
                <w:sz w:val="24"/>
                <w:lang w:val="en-US" w:eastAsia="zh-CN"/>
              </w:rPr>
            </w:pPr>
            <w:r>
              <w:rPr>
                <w:rFonts w:hint="eastAsia" w:ascii="宋体" w:hAnsi="宋体"/>
                <w:sz w:val="24"/>
                <w:lang w:val="en-US" w:eastAsia="zh-CN"/>
              </w:rPr>
              <w:t>五、创优要求：无。</w:t>
            </w:r>
          </w:p>
          <w:p w14:paraId="4EE16B71">
            <w:pPr>
              <w:spacing w:line="560" w:lineRule="exact"/>
              <w:ind w:firstLine="465"/>
              <w:rPr>
                <w:rFonts w:hint="eastAsia" w:ascii="宋体" w:hAnsi="宋体"/>
                <w:sz w:val="24"/>
              </w:rPr>
            </w:pPr>
            <w:r>
              <w:rPr>
                <w:rFonts w:hint="eastAsia" w:ascii="宋体" w:hAnsi="宋体"/>
                <w:sz w:val="24"/>
              </w:rPr>
              <w:t>六、创优要求：无。</w:t>
            </w:r>
          </w:p>
          <w:p w14:paraId="7E65789F">
            <w:pPr>
              <w:spacing w:line="560" w:lineRule="exact"/>
              <w:ind w:firstLine="465"/>
              <w:rPr>
                <w:rFonts w:hint="eastAsia" w:ascii="宋体" w:hAnsi="宋体"/>
                <w:sz w:val="24"/>
              </w:rPr>
            </w:pPr>
            <w:r>
              <w:rPr>
                <w:rFonts w:hint="eastAsia" w:ascii="宋体" w:hAnsi="宋体"/>
                <w:sz w:val="24"/>
              </w:rPr>
              <w:t>七、根据招标文件，（一）不可竞争费用按以下取定：</w:t>
            </w:r>
          </w:p>
          <w:p w14:paraId="788DCD76">
            <w:pPr>
              <w:spacing w:line="560" w:lineRule="exact"/>
              <w:ind w:firstLine="465"/>
              <w:rPr>
                <w:rFonts w:hint="eastAsia" w:ascii="宋体" w:hAnsi="宋体"/>
                <w:sz w:val="24"/>
              </w:rPr>
            </w:pPr>
            <w:r>
              <w:rPr>
                <w:rFonts w:hint="eastAsia" w:ascii="宋体" w:hAnsi="宋体"/>
                <w:sz w:val="24"/>
              </w:rPr>
              <w:t>1、现场安全文明施工措施费：</w:t>
            </w:r>
          </w:p>
          <w:p w14:paraId="4B36BBE8">
            <w:pPr>
              <w:spacing w:line="560" w:lineRule="exact"/>
              <w:ind w:firstLine="465"/>
              <w:rPr>
                <w:rFonts w:hint="eastAsia" w:ascii="宋体" w:hAnsi="宋体"/>
                <w:sz w:val="24"/>
              </w:rPr>
            </w:pPr>
            <w:r>
              <w:rPr>
                <w:rFonts w:hint="eastAsia" w:ascii="宋体" w:hAnsi="宋体"/>
                <w:sz w:val="24"/>
              </w:rPr>
              <w:t>安装工程  基本费：1.5%  增加费0%  扬尘污染防治增加费：0.21%；</w:t>
            </w:r>
          </w:p>
          <w:p w14:paraId="00AE6037">
            <w:pPr>
              <w:spacing w:line="560" w:lineRule="exact"/>
              <w:ind w:firstLine="465"/>
              <w:rPr>
                <w:rFonts w:hint="eastAsia" w:ascii="宋体" w:hAnsi="宋体"/>
                <w:sz w:val="24"/>
              </w:rPr>
            </w:pPr>
            <w:r>
              <w:rPr>
                <w:rFonts w:hint="eastAsia" w:ascii="宋体" w:hAnsi="宋体"/>
                <w:sz w:val="24"/>
              </w:rPr>
              <w:t>2、规费</w:t>
            </w:r>
          </w:p>
          <w:p w14:paraId="1453AC95">
            <w:pPr>
              <w:spacing w:line="560" w:lineRule="exact"/>
              <w:ind w:firstLine="465"/>
              <w:rPr>
                <w:rFonts w:hint="eastAsia" w:ascii="宋体" w:hAnsi="宋体"/>
                <w:sz w:val="24"/>
              </w:rPr>
            </w:pPr>
            <w:r>
              <w:rPr>
                <w:rFonts w:hint="eastAsia" w:ascii="宋体" w:hAnsi="宋体"/>
                <w:sz w:val="24"/>
              </w:rPr>
              <w:t>（</w:t>
            </w:r>
            <w:r>
              <w:rPr>
                <w:rFonts w:hint="eastAsia" w:ascii="宋体" w:hAnsi="宋体"/>
                <w:sz w:val="24"/>
                <w:lang w:val="en-US" w:eastAsia="zh-CN"/>
              </w:rPr>
              <w:t>1</w:t>
            </w:r>
            <w:r>
              <w:rPr>
                <w:rFonts w:hint="eastAsia" w:ascii="宋体" w:hAnsi="宋体"/>
                <w:sz w:val="24"/>
              </w:rPr>
              <w:t>）社会保险费  2.4%；</w:t>
            </w:r>
          </w:p>
          <w:p w14:paraId="3DEBBD58">
            <w:pPr>
              <w:spacing w:line="560" w:lineRule="exact"/>
              <w:ind w:firstLine="465"/>
              <w:rPr>
                <w:rFonts w:hint="eastAsia"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）住房公积金  0.42%；</w:t>
            </w:r>
          </w:p>
          <w:p w14:paraId="1BFE2A2F">
            <w:pPr>
              <w:spacing w:line="560" w:lineRule="exact"/>
              <w:ind w:firstLine="465"/>
              <w:rPr>
                <w:rFonts w:hint="eastAsia" w:ascii="宋体" w:hAnsi="宋体"/>
                <w:sz w:val="24"/>
              </w:rPr>
            </w:pPr>
            <w:r>
              <w:rPr>
                <w:rFonts w:hint="eastAsia" w:ascii="宋体" w:hAnsi="宋体"/>
                <w:sz w:val="24"/>
              </w:rPr>
              <w:t>3、税金：按一般计税方法计算，增值税费率9%。</w:t>
            </w:r>
          </w:p>
          <w:p w14:paraId="279161C6">
            <w:pPr>
              <w:spacing w:line="560" w:lineRule="exact"/>
              <w:ind w:firstLine="465"/>
              <w:rPr>
                <w:rFonts w:hint="eastAsia" w:ascii="宋体" w:hAnsi="宋体"/>
                <w:sz w:val="24"/>
              </w:rPr>
            </w:pPr>
            <w:r>
              <w:rPr>
                <w:rFonts w:hint="eastAsia" w:ascii="宋体" w:hAnsi="宋体"/>
                <w:sz w:val="24"/>
              </w:rPr>
              <w:t>八、清单说明事项：</w:t>
            </w:r>
          </w:p>
          <w:p w14:paraId="60BA539C">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 xml:space="preserve">本工程量清单的工作内容应包含清单计价规范所列出的工作内容（但不仅限于此），其完整的工作内容应为按照设计图纸、现行的相关施工工艺、技术规范标准、施工质量验收规范标准等要求实施完成该项工程并达到设计使用要求的所有内容，投标单位应按全部内容报价。工程量清单特征描述不全时，其相关技术规范及要求应参照施工图纸和招标文件报价；清单特征中未描述的，但“13计价规范”中注明的工程内容，承包人在报价时应充分考虑“工程内容”而产生的费用，列入相应报价中。 </w:t>
            </w:r>
          </w:p>
          <w:p w14:paraId="616841B4">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投标单位于投标前必须自行踏勘现场，充分了解并分析施工条件，采取有效的施工方案和技术措施保证工程顺利实施。</w:t>
            </w:r>
          </w:p>
          <w:p w14:paraId="6EA1AF34">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投标人根据招标文件给定的工期进行投标，且应充分考虑本工程所处地区的自然气候、人文地理条件等原因导致的工期影响、机械停滞、多次进退场、裸土覆盖、停工期间现场管理等，自行考虑相关措施，所有费用计入报价，包干使用，一旦中标，不再调整此类费用。</w:t>
            </w:r>
          </w:p>
          <w:p w14:paraId="184BE906">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投标人必须综合考虑政府行政管理部门的有关政府性要求和变化综合考虑可能产生的相关费用，如社会(学校)活动、防洪防汛防灾、环境整治、公共安全治理、疫情防控等引起的停工、窝工、机械停滞费、降效等损失和费用增加等，招标人将不做任何费用补偿和费用调整；若政府出台新文件的执行相关新文件内容。</w:t>
            </w:r>
          </w:p>
          <w:p w14:paraId="712B36A8">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投标人应充分了解本项目性质及地理位置，所需人员、机械、材料的超常规运费等增加费用，应在综合单价中考虑。投标人应充分考虑保证机械正常运转的措施费用，结算时不另外增加费用。</w:t>
            </w:r>
          </w:p>
          <w:p w14:paraId="7F08CB60">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施工期间相邻建筑物安全、道路、树木等保护及风险费用投标人综合考虑并自行报价，结算时不予调整。</w:t>
            </w:r>
          </w:p>
          <w:p w14:paraId="26302923">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施工水电费用计算和结算：招标人提供临时用水电的接入点，以目前现场条件为准，承包人应充分考虑驳接和临时停水、停电；承包人进场后双方及时办理临时水、电设施的移交手续。承包人现场用电所需的电源、配电线路所需的电缆等相关材料设备的费用已包含在合同价款中，发包人不再另行支付。施工用水、用电费用由承包人承担，项目结算时，需提供水电费结清证明，否则发包人有权在应支付的工程款中直接扣除。</w:t>
            </w:r>
          </w:p>
          <w:p w14:paraId="3BC2287C">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本工程砌筑、楼地面、抹灰砂浆等所需一切砂浆按预拌砂浆考虑，严禁使用散装及袋装水泥现场搅拌。</w:t>
            </w:r>
          </w:p>
          <w:p w14:paraId="46072E59">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本工程砼按预拌砼考虑，现场采用泵送还是非泵送投标单位自行考虑，砼泵送高度增加的费用在报价时考虑。</w:t>
            </w:r>
          </w:p>
          <w:p w14:paraId="69ABB55F">
            <w:pPr>
              <w:numPr>
                <w:ilvl w:val="0"/>
                <w:numId w:val="3"/>
              </w:numPr>
              <w:spacing w:line="560" w:lineRule="exact"/>
              <w:ind w:left="0" w:leftChars="0" w:firstLine="420" w:firstLineChars="175"/>
              <w:rPr>
                <w:rFonts w:hint="eastAsia" w:ascii="宋体" w:hAnsi="宋体"/>
                <w:sz w:val="24"/>
              </w:rPr>
            </w:pPr>
            <w:r>
              <w:rPr>
                <w:rFonts w:hint="eastAsia" w:ascii="宋体" w:hAnsi="宋体"/>
                <w:sz w:val="24"/>
              </w:rPr>
              <w:t>现场不提供任何临时设施，投标人勘查现场后需自行考虑临设搭设</w:t>
            </w:r>
            <w:r>
              <w:rPr>
                <w:rFonts w:hint="eastAsia" w:ascii="宋体" w:hAnsi="宋体"/>
                <w:sz w:val="24"/>
                <w:lang w:val="en-US" w:eastAsia="zh-CN"/>
              </w:rPr>
              <w:t>或租赁问题</w:t>
            </w:r>
            <w:r>
              <w:rPr>
                <w:rFonts w:hint="eastAsia" w:ascii="宋体" w:hAnsi="宋体"/>
                <w:sz w:val="24"/>
              </w:rPr>
              <w:t>，工程完工后，及时恢复因施工原因影响到的红线内外原地形、地貌（含施工前已破损地形、地貌、道路、绿化、管道等），使施工活动对周边环境的影响降至最低，相关费用计入投标报价，结算不予调整。</w:t>
            </w:r>
          </w:p>
          <w:p w14:paraId="21C4AC04">
            <w:pPr>
              <w:spacing w:line="560" w:lineRule="exact"/>
              <w:ind w:firstLine="465"/>
              <w:rPr>
                <w:rFonts w:hint="eastAsia" w:ascii="宋体" w:hAnsi="宋体"/>
                <w:sz w:val="24"/>
              </w:rPr>
            </w:pPr>
            <w:r>
              <w:rPr>
                <w:rFonts w:hint="eastAsia" w:ascii="宋体" w:hAnsi="宋体"/>
                <w:sz w:val="24"/>
              </w:rPr>
              <w:t>九、各专业工程说明：</w:t>
            </w:r>
          </w:p>
          <w:p w14:paraId="5A267242">
            <w:pPr>
              <w:spacing w:line="560" w:lineRule="exact"/>
              <w:ind w:firstLine="465"/>
              <w:rPr>
                <w:rFonts w:hint="eastAsia" w:ascii="宋体" w:hAnsi="宋体"/>
                <w:sz w:val="24"/>
                <w:lang w:val="en-US" w:eastAsia="zh-CN"/>
              </w:rPr>
            </w:pPr>
            <w:r>
              <w:rPr>
                <w:rFonts w:hint="eastAsia" w:ascii="宋体" w:hAnsi="宋体"/>
                <w:sz w:val="24"/>
                <w:lang w:val="en-US" w:eastAsia="zh-CN"/>
              </w:rPr>
              <w:t>1、分时计量柜内设置蓄能控制系统,该系统由供电公司分时电表,蓄能启动控制系统组成,控制蓄能设备在夜间谷电时段(0:00-8:00)内智能化运行,充分利用低谷电能“移峰填谷”。</w:t>
            </w:r>
          </w:p>
          <w:p w14:paraId="25FD3727">
            <w:pPr>
              <w:spacing w:line="560" w:lineRule="exact"/>
              <w:ind w:firstLine="465"/>
              <w:rPr>
                <w:rFonts w:hint="default" w:ascii="宋体" w:hAnsi="宋体"/>
                <w:sz w:val="24"/>
                <w:lang w:val="en-US" w:eastAsia="zh-CN"/>
              </w:rPr>
            </w:pPr>
            <w:r>
              <w:rPr>
                <w:rFonts w:hint="eastAsia" w:ascii="宋体" w:hAnsi="宋体"/>
                <w:sz w:val="24"/>
                <w:lang w:val="en-US" w:eastAsia="zh-CN"/>
              </w:rPr>
              <w:t>2、智能水控系统：由智能水控组态软件、电动阀门、智能水控器、区域控制网关、交换机、核心交换机组成。智能水控组态软件接入1#、2#、3#、5#楼所有楼层智能水控控器,可实现各楼层水路定时开关、手动开关,同时预留API、MODBUS通讯接口可与上位机无缝对接。区域控制器(网关)经过RS485通讯(通讯距离不超过100米),将智能水控器采集,采用MODBUS协议经过网关传输至智能水控组态软件,具体敷设线缆详规格见系统图。各楼层智能水控器支持定时控制、手动控制相对应楼层的水回路,具体敷设线缆详规格见系统图。</w:t>
            </w:r>
          </w:p>
          <w:p w14:paraId="1844F512">
            <w:pPr>
              <w:spacing w:line="560" w:lineRule="exact"/>
              <w:ind w:firstLine="465"/>
              <w:rPr>
                <w:rFonts w:hint="eastAsia" w:ascii="宋体" w:hAnsi="宋体"/>
                <w:sz w:val="24"/>
              </w:rPr>
            </w:pPr>
            <w:r>
              <w:rPr>
                <w:rFonts w:hint="eastAsia" w:ascii="宋体" w:hAnsi="宋体"/>
                <w:sz w:val="24"/>
              </w:rPr>
              <w:t>十、特别提醒：</w:t>
            </w:r>
          </w:p>
          <w:p w14:paraId="21060B12">
            <w:pPr>
              <w:spacing w:line="560" w:lineRule="exact"/>
              <w:ind w:firstLine="465"/>
              <w:rPr>
                <w:rFonts w:hint="eastAsia" w:ascii="宋体" w:hAnsi="宋体"/>
                <w:sz w:val="24"/>
              </w:rPr>
            </w:pPr>
            <w:r>
              <w:rPr>
                <w:rFonts w:hint="eastAsia" w:ascii="宋体" w:hAnsi="宋体"/>
                <w:sz w:val="24"/>
              </w:rPr>
              <w:t>投标人必须按照本工程的“工程量编制说明”要求进行投标报价，主要材料在设备品牌表中选定，详见技术规格书及相关技术要求。若技术规范书、设计图纸、工程量清单表述不一致，按照三者中高标准执行。</w:t>
            </w:r>
          </w:p>
          <w:p w14:paraId="5D3ECAEE">
            <w:pPr>
              <w:spacing w:line="560" w:lineRule="exact"/>
              <w:ind w:firstLine="465"/>
              <w:rPr>
                <w:rFonts w:hint="eastAsia" w:ascii="宋体" w:hAnsi="宋体"/>
                <w:sz w:val="24"/>
              </w:rPr>
            </w:pPr>
            <w:r>
              <w:rPr>
                <w:rFonts w:hint="eastAsia" w:ascii="宋体" w:hAnsi="宋体"/>
                <w:sz w:val="24"/>
              </w:rPr>
              <w:t>投标报价文件需附“承包人提供主要材料和工程设备一览表”，列明材料和设备选用的品牌。</w:t>
            </w:r>
          </w:p>
          <w:p w14:paraId="629AFD44">
            <w:pPr>
              <w:numPr>
                <w:ilvl w:val="0"/>
                <w:numId w:val="4"/>
              </w:numPr>
              <w:spacing w:line="560" w:lineRule="exact"/>
              <w:ind w:firstLine="465"/>
              <w:rPr>
                <w:rFonts w:hint="default" w:ascii="宋体" w:hAnsi="宋体"/>
                <w:sz w:val="24"/>
                <w:lang w:val="en-US" w:eastAsia="zh-CN"/>
              </w:rPr>
            </w:pPr>
            <w:r>
              <w:rPr>
                <w:rFonts w:hint="eastAsia" w:ascii="宋体" w:hAnsi="宋体"/>
                <w:sz w:val="24"/>
                <w:lang w:val="en-US" w:eastAsia="zh-CN"/>
              </w:rPr>
              <w:t>品牌推荐表</w:t>
            </w:r>
            <w:r>
              <w:rPr>
                <w:rFonts w:hint="eastAsia" w:asciiTheme="minorEastAsia" w:hAnsiTheme="minorEastAsia" w:eastAsiaTheme="minorEastAsia" w:cstheme="minorEastAsia"/>
                <w:b w:val="0"/>
                <w:bCs w:val="0"/>
                <w:color w:val="auto"/>
                <w:spacing w:val="-2"/>
                <w:sz w:val="24"/>
                <w:szCs w:val="24"/>
                <w:lang w:eastAsia="zh-CN"/>
              </w:rPr>
              <w:t>（</w:t>
            </w:r>
            <w:r>
              <w:rPr>
                <w:rFonts w:hint="eastAsia" w:asciiTheme="minorEastAsia" w:hAnsiTheme="minorEastAsia" w:eastAsiaTheme="minorEastAsia" w:cstheme="minorEastAsia"/>
                <w:b w:val="0"/>
                <w:bCs w:val="0"/>
                <w:color w:val="auto"/>
                <w:sz w:val="28"/>
                <w:highlight w:val="none"/>
                <w:lang w:val="en-US" w:eastAsia="zh-CN"/>
              </w:rPr>
              <w:t>或同等档次国产一线品牌）</w:t>
            </w:r>
          </w:p>
          <w:tbl>
            <w:tblPr>
              <w:tblStyle w:val="7"/>
              <w:tblW w:w="90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954"/>
              <w:gridCol w:w="5101"/>
            </w:tblGrid>
            <w:tr w14:paraId="2A27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1D17CD78">
                  <w:pPr>
                    <w:pStyle w:val="1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24"/>
                      <w:vertAlign w:val="baseline"/>
                      <w:lang w:val="en-US" w:eastAsia="zh-CN"/>
                    </w:rPr>
                  </w:pPr>
                  <w:r>
                    <w:rPr>
                      <w:rFonts w:hint="eastAsia" w:asciiTheme="minorEastAsia" w:hAnsiTheme="minorEastAsia" w:eastAsiaTheme="minorEastAsia" w:cstheme="minorEastAsia"/>
                      <w:b w:val="0"/>
                      <w:bCs w:val="0"/>
                      <w:color w:val="auto"/>
                      <w:spacing w:val="-3"/>
                      <w:sz w:val="24"/>
                      <w:szCs w:val="24"/>
                    </w:rPr>
                    <w:t>序号</w:t>
                  </w:r>
                </w:p>
              </w:tc>
              <w:tc>
                <w:tcPr>
                  <w:tcW w:w="2954" w:type="dxa"/>
                  <w:vAlign w:val="center"/>
                </w:tcPr>
                <w:p w14:paraId="1491E8DA">
                  <w:pPr>
                    <w:pStyle w:val="1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24"/>
                      <w:vertAlign w:val="baseline"/>
                      <w:lang w:val="en-US" w:eastAsia="zh-CN"/>
                    </w:rPr>
                  </w:pPr>
                  <w:r>
                    <w:rPr>
                      <w:rFonts w:hint="eastAsia" w:asciiTheme="minorEastAsia" w:hAnsiTheme="minorEastAsia" w:eastAsiaTheme="minorEastAsia" w:cstheme="minorEastAsia"/>
                      <w:b w:val="0"/>
                      <w:bCs w:val="0"/>
                      <w:color w:val="auto"/>
                      <w:spacing w:val="-2"/>
                      <w:sz w:val="24"/>
                      <w:szCs w:val="24"/>
                    </w:rPr>
                    <w:t>材料名称</w:t>
                  </w:r>
                </w:p>
              </w:tc>
              <w:tc>
                <w:tcPr>
                  <w:tcW w:w="5101" w:type="dxa"/>
                  <w:vAlign w:val="center"/>
                </w:tcPr>
                <w:p w14:paraId="70B60D1A">
                  <w:pPr>
                    <w:pStyle w:val="12"/>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24"/>
                      <w:vertAlign w:val="baseline"/>
                      <w:lang w:val="en-US" w:eastAsia="zh-CN"/>
                    </w:rPr>
                  </w:pPr>
                  <w:r>
                    <w:rPr>
                      <w:rFonts w:hint="eastAsia" w:asciiTheme="minorEastAsia" w:hAnsiTheme="minorEastAsia" w:eastAsiaTheme="minorEastAsia" w:cstheme="minorEastAsia"/>
                      <w:b w:val="0"/>
                      <w:bCs w:val="0"/>
                      <w:color w:val="auto"/>
                      <w:spacing w:val="-2"/>
                      <w:sz w:val="24"/>
                      <w:szCs w:val="24"/>
                    </w:rPr>
                    <w:t>推荐品牌</w:t>
                  </w:r>
                </w:p>
              </w:tc>
            </w:tr>
            <w:tr w14:paraId="0132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15E6283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1</w:t>
                  </w:r>
                </w:p>
              </w:tc>
              <w:tc>
                <w:tcPr>
                  <w:tcW w:w="2954" w:type="dxa"/>
                  <w:vAlign w:val="center"/>
                </w:tcPr>
                <w:p w14:paraId="1420ADD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Times New Roman" w:hAnsi="Times New Roman" w:eastAsia="宋体" w:cs="Times New Roman"/>
                      <w:color w:val="auto"/>
                      <w:sz w:val="24"/>
                      <w:szCs w:val="24"/>
                      <w:highlight w:val="none"/>
                      <w:lang w:val="en-US" w:eastAsia="zh-CN"/>
                    </w:rPr>
                    <w:t>蓄热式电锅炉</w:t>
                  </w:r>
                </w:p>
              </w:tc>
              <w:tc>
                <w:tcPr>
                  <w:tcW w:w="5101" w:type="dxa"/>
                  <w:vAlign w:val="center"/>
                </w:tcPr>
                <w:p w14:paraId="5569C23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Times New Roman" w:hAnsi="Times New Roman" w:eastAsia="宋体" w:cs="Times New Roman"/>
                      <w:color w:val="auto"/>
                      <w:sz w:val="24"/>
                      <w:szCs w:val="24"/>
                      <w:highlight w:val="none"/>
                      <w:lang w:val="en-US" w:eastAsia="zh-CN"/>
                    </w:rPr>
                    <w:t>扬诺、富士特、富尔顿</w:t>
                  </w:r>
                </w:p>
              </w:tc>
            </w:tr>
            <w:tr w14:paraId="7313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20BF645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2</w:t>
                  </w:r>
                </w:p>
              </w:tc>
              <w:tc>
                <w:tcPr>
                  <w:tcW w:w="2954" w:type="dxa"/>
                  <w:vAlign w:val="center"/>
                </w:tcPr>
                <w:p w14:paraId="3F58D62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Times New Roman" w:hAnsi="Times New Roman" w:eastAsia="宋体" w:cs="Times New Roman"/>
                      <w:color w:val="auto"/>
                      <w:sz w:val="24"/>
                      <w:szCs w:val="24"/>
                      <w:highlight w:val="none"/>
                      <w:lang w:val="en-US" w:eastAsia="zh-CN"/>
                    </w:rPr>
                    <w:t>空气源热泵机组</w:t>
                  </w:r>
                </w:p>
              </w:tc>
              <w:tc>
                <w:tcPr>
                  <w:tcW w:w="5101" w:type="dxa"/>
                  <w:vAlign w:val="center"/>
                </w:tcPr>
                <w:p w14:paraId="3BF6E0FA">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Times New Roman" w:hAnsi="Times New Roman" w:eastAsia="宋体" w:cs="Times New Roman"/>
                      <w:color w:val="auto"/>
                      <w:sz w:val="24"/>
                      <w:szCs w:val="24"/>
                      <w:highlight w:val="none"/>
                      <w:lang w:val="en-US" w:eastAsia="zh-CN"/>
                    </w:rPr>
                    <w:t>美的、格力、天舒</w:t>
                  </w:r>
                </w:p>
              </w:tc>
            </w:tr>
            <w:tr w14:paraId="3DCA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3534B1D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3</w:t>
                  </w:r>
                </w:p>
              </w:tc>
              <w:tc>
                <w:tcPr>
                  <w:tcW w:w="2954" w:type="dxa"/>
                  <w:vAlign w:val="center"/>
                </w:tcPr>
                <w:p w14:paraId="23E117B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Times New Roman" w:hAnsi="Times New Roman" w:eastAsia="宋体" w:cs="Times New Roman"/>
                      <w:color w:val="auto"/>
                      <w:sz w:val="24"/>
                      <w:szCs w:val="24"/>
                      <w:highlight w:val="none"/>
                      <w:lang w:val="en-US" w:eastAsia="zh-CN"/>
                    </w:rPr>
                    <w:t>稳压变频供水泵组</w:t>
                  </w:r>
                </w:p>
              </w:tc>
              <w:tc>
                <w:tcPr>
                  <w:tcW w:w="5101" w:type="dxa"/>
                  <w:vAlign w:val="center"/>
                </w:tcPr>
                <w:p w14:paraId="49DEF5F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水泵品牌：威乐、格兰富、赛莱默</w:t>
                  </w:r>
                </w:p>
                <w:p w14:paraId="2478D04B">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变频</w:t>
                  </w:r>
                  <w:r>
                    <w:rPr>
                      <w:rFonts w:hint="eastAsia" w:ascii="Times New Roman" w:hAnsi="Times New Roman" w:cs="Times New Roman"/>
                      <w:color w:val="auto"/>
                      <w:sz w:val="24"/>
                      <w:szCs w:val="24"/>
                      <w:highlight w:val="none"/>
                      <w:lang w:val="en-US" w:eastAsia="zh-CN"/>
                    </w:rPr>
                    <w:t>器</w:t>
                  </w:r>
                  <w:r>
                    <w:rPr>
                      <w:rFonts w:hint="eastAsia" w:ascii="Times New Roman" w:hAnsi="Times New Roman" w:eastAsia="宋体" w:cs="Times New Roman"/>
                      <w:color w:val="auto"/>
                      <w:sz w:val="24"/>
                      <w:szCs w:val="24"/>
                      <w:highlight w:val="none"/>
                      <w:lang w:val="en-US" w:eastAsia="zh-CN"/>
                    </w:rPr>
                    <w:t>：ABB、施耐德、西门子</w:t>
                  </w:r>
                </w:p>
              </w:tc>
            </w:tr>
            <w:tr w14:paraId="46DC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28A9E108">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4</w:t>
                  </w:r>
                </w:p>
              </w:tc>
              <w:tc>
                <w:tcPr>
                  <w:tcW w:w="2954" w:type="dxa"/>
                  <w:vAlign w:val="center"/>
                </w:tcPr>
                <w:p w14:paraId="3CF662EE">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不锈钢水箱</w:t>
                  </w:r>
                </w:p>
              </w:tc>
              <w:tc>
                <w:tcPr>
                  <w:tcW w:w="5101" w:type="dxa"/>
                  <w:vAlign w:val="center"/>
                </w:tcPr>
                <w:p w14:paraId="7A87B0B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eastAsia="宋体" w:cs="Times New Roman"/>
                      <w:color w:val="auto"/>
                      <w:sz w:val="24"/>
                      <w:szCs w:val="24"/>
                      <w:highlight w:val="none"/>
                      <w:lang w:val="en-US" w:eastAsia="zh-CN"/>
                    </w:rPr>
                    <w:t>国标</w:t>
                  </w:r>
                </w:p>
              </w:tc>
            </w:tr>
            <w:tr w14:paraId="54BFC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3BDCD803">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5</w:t>
                  </w:r>
                </w:p>
              </w:tc>
              <w:tc>
                <w:tcPr>
                  <w:tcW w:w="2954" w:type="dxa"/>
                  <w:vAlign w:val="center"/>
                </w:tcPr>
                <w:p w14:paraId="66EE3A2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不锈钢管</w:t>
                  </w:r>
                </w:p>
              </w:tc>
              <w:tc>
                <w:tcPr>
                  <w:tcW w:w="5101" w:type="dxa"/>
                  <w:vAlign w:val="center"/>
                </w:tcPr>
                <w:p w14:paraId="6A9B176C">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国标</w:t>
                  </w:r>
                </w:p>
              </w:tc>
            </w:tr>
            <w:tr w14:paraId="3AC7F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33D3D5C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6</w:t>
                  </w:r>
                </w:p>
              </w:tc>
              <w:tc>
                <w:tcPr>
                  <w:tcW w:w="2954" w:type="dxa"/>
                  <w:vAlign w:val="center"/>
                </w:tcPr>
                <w:p w14:paraId="57362D7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PPR管</w:t>
                  </w:r>
                </w:p>
              </w:tc>
              <w:tc>
                <w:tcPr>
                  <w:tcW w:w="5101" w:type="dxa"/>
                  <w:vAlign w:val="center"/>
                </w:tcPr>
                <w:p w14:paraId="1C1AD1C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国标</w:t>
                  </w:r>
                </w:p>
              </w:tc>
            </w:tr>
            <w:tr w14:paraId="0688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161BBB10">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7</w:t>
                  </w:r>
                </w:p>
              </w:tc>
              <w:tc>
                <w:tcPr>
                  <w:tcW w:w="2954" w:type="dxa"/>
                  <w:vAlign w:val="center"/>
                </w:tcPr>
                <w:p w14:paraId="7B2B79DD">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不锈钢阀门</w:t>
                  </w:r>
                </w:p>
              </w:tc>
              <w:tc>
                <w:tcPr>
                  <w:tcW w:w="5101" w:type="dxa"/>
                  <w:vAlign w:val="center"/>
                </w:tcPr>
                <w:p w14:paraId="7CF2E704">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Times New Roman" w:hAnsi="Times New Roman" w:eastAsia="宋体" w:cs="Times New Roman"/>
                      <w:color w:val="auto"/>
                      <w:sz w:val="24"/>
                      <w:szCs w:val="24"/>
                      <w:highlight w:val="none"/>
                      <w:lang w:val="en-US" w:eastAsia="zh-CN"/>
                    </w:rPr>
                    <w:t>上海沪工、沪航、上海冠龙</w:t>
                  </w:r>
                </w:p>
              </w:tc>
            </w:tr>
            <w:tr w14:paraId="3F169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1" w:type="dxa"/>
                  <w:vAlign w:val="center"/>
                </w:tcPr>
                <w:p w14:paraId="79EC21A5">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8</w:t>
                  </w:r>
                </w:p>
              </w:tc>
              <w:tc>
                <w:tcPr>
                  <w:tcW w:w="2954" w:type="dxa"/>
                  <w:vAlign w:val="center"/>
                </w:tcPr>
                <w:p w14:paraId="4EDAE959">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交换机</w:t>
                  </w:r>
                </w:p>
              </w:tc>
              <w:tc>
                <w:tcPr>
                  <w:tcW w:w="5101" w:type="dxa"/>
                  <w:vAlign w:val="center"/>
                </w:tcPr>
                <w:p w14:paraId="4C129EA1">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宋体" w:hAnsi="宋体"/>
                      <w:color w:val="auto"/>
                      <w:sz w:val="24"/>
                      <w:szCs w:val="24"/>
                      <w:vertAlign w:val="baseline"/>
                      <w:lang w:val="en-US" w:eastAsia="zh-CN"/>
                    </w:rPr>
                  </w:pPr>
                  <w:r>
                    <w:rPr>
                      <w:rFonts w:hint="eastAsia" w:ascii="宋体" w:hAnsi="宋体"/>
                      <w:color w:val="auto"/>
                      <w:sz w:val="24"/>
                      <w:szCs w:val="24"/>
                      <w:vertAlign w:val="baseline"/>
                      <w:lang w:val="en-US" w:eastAsia="zh-CN"/>
                    </w:rPr>
                    <w:t>锐捷、华为、新联电子</w:t>
                  </w:r>
                </w:p>
              </w:tc>
            </w:tr>
          </w:tbl>
          <w:p w14:paraId="3C4EF555">
            <w:pPr>
              <w:numPr>
                <w:ilvl w:val="0"/>
                <w:numId w:val="0"/>
              </w:numPr>
              <w:spacing w:line="560" w:lineRule="exact"/>
              <w:rPr>
                <w:rFonts w:hint="default" w:ascii="宋体" w:hAnsi="宋体"/>
                <w:sz w:val="24"/>
                <w:lang w:val="en-US" w:eastAsia="zh-CN"/>
              </w:rPr>
            </w:pPr>
          </w:p>
        </w:tc>
      </w:tr>
    </w:tbl>
    <w:p w14:paraId="41607C14"/>
    <w:p w14:paraId="07747F12"/>
    <w:sectPr>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43AAB6"/>
    <w:multiLevelType w:val="singleLevel"/>
    <w:tmpl w:val="CC43AAB6"/>
    <w:lvl w:ilvl="0" w:tentative="0">
      <w:start w:val="1"/>
      <w:numFmt w:val="decimal"/>
      <w:suff w:val="nothing"/>
      <w:lvlText w:val="%1、"/>
      <w:lvlJc w:val="left"/>
    </w:lvl>
  </w:abstractNum>
  <w:abstractNum w:abstractNumId="1">
    <w:nsid w:val="F1BC3F6E"/>
    <w:multiLevelType w:val="singleLevel"/>
    <w:tmpl w:val="F1BC3F6E"/>
    <w:lvl w:ilvl="0" w:tentative="0">
      <w:start w:val="1"/>
      <w:numFmt w:val="decimal"/>
      <w:suff w:val="nothing"/>
      <w:lvlText w:val="%1、"/>
      <w:lvlJc w:val="left"/>
    </w:lvl>
  </w:abstractNum>
  <w:abstractNum w:abstractNumId="2">
    <w:nsid w:val="258FA747"/>
    <w:multiLevelType w:val="singleLevel"/>
    <w:tmpl w:val="258FA747"/>
    <w:lvl w:ilvl="0" w:tentative="0">
      <w:start w:val="11"/>
      <w:numFmt w:val="chineseCounting"/>
      <w:suff w:val="nothing"/>
      <w:lvlText w:val="%1、"/>
      <w:lvlJc w:val="left"/>
      <w:rPr>
        <w:rFonts w:hint="eastAsia"/>
      </w:rPr>
    </w:lvl>
  </w:abstractNum>
  <w:abstractNum w:abstractNumId="3">
    <w:nsid w:val="76262392"/>
    <w:multiLevelType w:val="singleLevel"/>
    <w:tmpl w:val="76262392"/>
    <w:lvl w:ilvl="0" w:tentative="0">
      <w:start w:val="1"/>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zOThlNzM5YmRkNTVhMTE2ZWYyMzlkMGZmMjQ1MjYifQ=="/>
  </w:docVars>
  <w:rsids>
    <w:rsidRoot w:val="00172A27"/>
    <w:rsid w:val="00035861"/>
    <w:rsid w:val="000A6DD2"/>
    <w:rsid w:val="000B04F9"/>
    <w:rsid w:val="000C16DC"/>
    <w:rsid w:val="000E2C2F"/>
    <w:rsid w:val="00125619"/>
    <w:rsid w:val="00220D0C"/>
    <w:rsid w:val="0023167A"/>
    <w:rsid w:val="00242C1A"/>
    <w:rsid w:val="002457EE"/>
    <w:rsid w:val="00281EFA"/>
    <w:rsid w:val="00297930"/>
    <w:rsid w:val="002A0ACC"/>
    <w:rsid w:val="002E6CEE"/>
    <w:rsid w:val="0034082C"/>
    <w:rsid w:val="00342D7F"/>
    <w:rsid w:val="003650A0"/>
    <w:rsid w:val="003B1B14"/>
    <w:rsid w:val="003F610A"/>
    <w:rsid w:val="00440D86"/>
    <w:rsid w:val="004556A2"/>
    <w:rsid w:val="00485264"/>
    <w:rsid w:val="00493D0E"/>
    <w:rsid w:val="004A4D61"/>
    <w:rsid w:val="004B5B4B"/>
    <w:rsid w:val="004F2C35"/>
    <w:rsid w:val="00501438"/>
    <w:rsid w:val="005D2C55"/>
    <w:rsid w:val="005D3897"/>
    <w:rsid w:val="005E3424"/>
    <w:rsid w:val="0062719E"/>
    <w:rsid w:val="00663642"/>
    <w:rsid w:val="006661B8"/>
    <w:rsid w:val="006A381F"/>
    <w:rsid w:val="006B5D05"/>
    <w:rsid w:val="006F612B"/>
    <w:rsid w:val="00704987"/>
    <w:rsid w:val="0073176B"/>
    <w:rsid w:val="00732FDE"/>
    <w:rsid w:val="007715AD"/>
    <w:rsid w:val="00772BEB"/>
    <w:rsid w:val="0077475A"/>
    <w:rsid w:val="007E0C39"/>
    <w:rsid w:val="007E207B"/>
    <w:rsid w:val="008200C6"/>
    <w:rsid w:val="00831C31"/>
    <w:rsid w:val="00845569"/>
    <w:rsid w:val="00864139"/>
    <w:rsid w:val="00956908"/>
    <w:rsid w:val="00985F62"/>
    <w:rsid w:val="00986E5F"/>
    <w:rsid w:val="009A560C"/>
    <w:rsid w:val="009B609D"/>
    <w:rsid w:val="009C6BED"/>
    <w:rsid w:val="009D7F51"/>
    <w:rsid w:val="00A909B7"/>
    <w:rsid w:val="00A94AB0"/>
    <w:rsid w:val="00AA1D1D"/>
    <w:rsid w:val="00AC6EFB"/>
    <w:rsid w:val="00AE73B7"/>
    <w:rsid w:val="00AF4D69"/>
    <w:rsid w:val="00B11440"/>
    <w:rsid w:val="00B22539"/>
    <w:rsid w:val="00B27AC1"/>
    <w:rsid w:val="00B65E63"/>
    <w:rsid w:val="00BC5246"/>
    <w:rsid w:val="00BC6796"/>
    <w:rsid w:val="00CA28CF"/>
    <w:rsid w:val="00CB04B2"/>
    <w:rsid w:val="00CF4665"/>
    <w:rsid w:val="00D11C8D"/>
    <w:rsid w:val="00D17459"/>
    <w:rsid w:val="00D77DCF"/>
    <w:rsid w:val="00D846D5"/>
    <w:rsid w:val="00DF0F28"/>
    <w:rsid w:val="00E039CB"/>
    <w:rsid w:val="00E07A72"/>
    <w:rsid w:val="00E83C5C"/>
    <w:rsid w:val="00E96A38"/>
    <w:rsid w:val="00ED06FC"/>
    <w:rsid w:val="00EF75C7"/>
    <w:rsid w:val="00F43EB4"/>
    <w:rsid w:val="00F45A3E"/>
    <w:rsid w:val="00FB76F3"/>
    <w:rsid w:val="01206C21"/>
    <w:rsid w:val="039A262C"/>
    <w:rsid w:val="063C2236"/>
    <w:rsid w:val="067B6C5F"/>
    <w:rsid w:val="0C003B50"/>
    <w:rsid w:val="0C063DA0"/>
    <w:rsid w:val="0C290520"/>
    <w:rsid w:val="152227BC"/>
    <w:rsid w:val="1569565B"/>
    <w:rsid w:val="19FE278E"/>
    <w:rsid w:val="1D790FD1"/>
    <w:rsid w:val="2032017F"/>
    <w:rsid w:val="20DF47A6"/>
    <w:rsid w:val="21362075"/>
    <w:rsid w:val="26A21CA3"/>
    <w:rsid w:val="26C568DA"/>
    <w:rsid w:val="2B1715CC"/>
    <w:rsid w:val="2C0967E1"/>
    <w:rsid w:val="2D0009CE"/>
    <w:rsid w:val="31487277"/>
    <w:rsid w:val="32064C8D"/>
    <w:rsid w:val="325C7250"/>
    <w:rsid w:val="328A07A2"/>
    <w:rsid w:val="3E19220F"/>
    <w:rsid w:val="3E1C6F3A"/>
    <w:rsid w:val="40CC37A2"/>
    <w:rsid w:val="41B65345"/>
    <w:rsid w:val="49813596"/>
    <w:rsid w:val="58496996"/>
    <w:rsid w:val="5E98786C"/>
    <w:rsid w:val="5FB567E4"/>
    <w:rsid w:val="60F02DDF"/>
    <w:rsid w:val="644C3B81"/>
    <w:rsid w:val="6B1E7934"/>
    <w:rsid w:val="6BED1E06"/>
    <w:rsid w:val="6CB01639"/>
    <w:rsid w:val="6F617BD1"/>
    <w:rsid w:val="704025DB"/>
    <w:rsid w:val="742B529A"/>
    <w:rsid w:val="77ED6AED"/>
    <w:rsid w:val="7C664983"/>
    <w:rsid w:val="7E2D2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420"/>
    </w:pPr>
    <w:rPr>
      <w:kern w:val="0"/>
      <w:sz w:val="20"/>
      <w:szCs w:val="20"/>
    </w:rPr>
  </w:style>
  <w:style w:type="paragraph" w:styleId="3">
    <w:name w:val="Balloon Text"/>
    <w:basedOn w:val="1"/>
    <w:link w:val="11"/>
    <w:autoRedefine/>
    <w:unhideWhenUsed/>
    <w:qFormat/>
    <w:uiPriority w:val="99"/>
    <w:rPr>
      <w:sz w:val="18"/>
      <w:szCs w:val="18"/>
    </w:rPr>
  </w:style>
  <w:style w:type="paragraph" w:styleId="4">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autoRedefine/>
    <w:semiHidden/>
    <w:qFormat/>
    <w:uiPriority w:val="99"/>
    <w:rPr>
      <w:sz w:val="18"/>
      <w:szCs w:val="18"/>
    </w:rPr>
  </w:style>
  <w:style w:type="character" w:customStyle="1" w:styleId="10">
    <w:name w:val="页脚 字符"/>
    <w:basedOn w:val="8"/>
    <w:link w:val="4"/>
    <w:autoRedefine/>
    <w:semiHidden/>
    <w:qFormat/>
    <w:uiPriority w:val="99"/>
    <w:rPr>
      <w:sz w:val="18"/>
      <w:szCs w:val="18"/>
    </w:rPr>
  </w:style>
  <w:style w:type="character" w:customStyle="1" w:styleId="11">
    <w:name w:val="批注框文本 字符"/>
    <w:basedOn w:val="8"/>
    <w:link w:val="3"/>
    <w:autoRedefine/>
    <w:semiHidden/>
    <w:qFormat/>
    <w:uiPriority w:val="99"/>
    <w:rPr>
      <w:rFonts w:ascii="Times New Roman" w:hAnsi="Times New Roman" w:eastAsia="宋体" w:cs="Times New Roman"/>
      <w:sz w:val="18"/>
      <w:szCs w:val="18"/>
    </w:rPr>
  </w:style>
  <w:style w:type="paragraph" w:customStyle="1" w:styleId="12">
    <w:name w:val="Table Text"/>
    <w:basedOn w:val="1"/>
    <w:semiHidden/>
    <w:qFormat/>
    <w:uiPriority w:val="0"/>
    <w:rPr>
      <w:rFonts w:ascii="宋体" w:hAnsi="宋体" w:eastAsia="宋体" w:cs="宋体"/>
      <w:sz w:val="21"/>
      <w:szCs w:val="21"/>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7ADFCF-1003-4D61-948A-FB583F43681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3058</Words>
  <Characters>3230</Characters>
  <Lines>6</Lines>
  <Paragraphs>1</Paragraphs>
  <TotalTime>0</TotalTime>
  <ScaleCrop>false</ScaleCrop>
  <LinksUpToDate>false</LinksUpToDate>
  <CharactersWithSpaces>3268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2012-03-22T08:59:00Z</dcterms:created>
  <dc:creator>微软用户</dc:creator>
  <cp:lastModifiedBy>XMG</cp:lastModifiedBy>
  <cp:lastPrinted>2016-08-29T04:25:00Z</cp:lastPrinted>
  <dcterms:modified xsi:type="dcterms:W3CDTF">2025-04-14T01:03:48Z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4061E33C704143DEA97EEDAAA25014FD_12</vt:lpwstr>
  </property>
  <property fmtid="{D5CDD505-2E9C-101B-9397-08002B2CF9AE}" pid="4" name="KSOTemplateDocerSaveRecord">
    <vt:lpwstr>eyJoZGlkIjoiNWQyZjM4NWZkNDZjMzdmMTc2YTY3ZGQ3OGJlM2FlMWQiLCJ1c2VySWQiOiI0MDQxMDE1MzUifQ==</vt:lpwstr>
  </property>
</Properties>
</file>